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ediumGrid3-Accent1"/>
        <w:tblpPr w:leftFromText="180" w:rightFromText="180" w:vertAnchor="page" w:horzAnchor="margin" w:tblpY="1456"/>
        <w:tblW w:w="13878" w:type="dxa"/>
        <w:tblLayout w:type="fixed"/>
        <w:tblLook w:val="04A0" w:firstRow="1" w:lastRow="0" w:firstColumn="1" w:lastColumn="0" w:noHBand="0" w:noVBand="1"/>
        <w:tblCaption w:val="School Linked Mental Health to Children and Families Across Minneosta &amp; School Partnership"/>
        <w:tblDescription w:val="This table has 3 rows under the heading  Focus areas. The three focus areas reading from top to bottom include: Collaboratively identifying and implementing an Evidence based Practice, Data-based Decision Making and Professional Development. There are 5 colum headings across the top reading SLMH Get, School Get, SLMH Give, School Give and shared outcomes. SLMH staff have a clear understanding of how to implement the identified EBP via direct clinical services and/or ancillary supports within the context and needs of the partnering school  School staff have a clear understanding of the capacity of the SLMH provider agency to implement the EBP within their school via direct clinical services and/or ancillary supports SLMH staff provide a menu of opportunities of EBPs, direct clinical services and/or ancillary services (e.g., training, consultation, etc.) available to support the requirements and priorities of the grant  School staff will provide time, resources and appropriate space to implement SLMH EBP (clinical service or and/or ancillary services) within existing multi-tiered system of support (MTSS) e.g., PBIS  SLMH staff grantee and designated school staff have identified (e.g., resource mapping) agreed upon EBPs across the tiers and are implementing the identified EBPs with fidelity . Second row readsAccess to data reflecting school MTSS* system (e.g., PBIS), including a process to identify students needing additional support and or who would benefit from the identified SLMH EBP  Transparency and precision in the identification of students who would benefit from SLMH EBP, evidence of implementation with fidelity (e.g., Tiered Fidelity Inventory) and student progress Agreement to collect and share implementation and progress data within the guidelines of both educational and medical legal requirements (i.e., HIPPA, FERPA) with designated school team Provide regular access to data review meetings to systematically identify students, or groups of students who would likely benefit from SLMH EBP Transparency in the process of monitoring the implementation of the SLMH EBP, identification of students who would benefit from SLMH EBP and progress data for both. Third row readsSLMH team staff will have opportunity to participate in school PD opportunities to understand the culture of a school building and how SLMH services can be aligned within the educational setting School staff develops a better understanding of the SLMH staff role as well as of the EBP(s) being provided to students across tiers SLMH staff will provide the professional development for school staff to related to mental health in schools across tiers and info on EBP(s) being provided School staff will provide access to SLMH staff to participate in school PD opportunities to learn about school culture and systems to better align supports across existing tiers School staff and SLMH staff will develop a mutual understanding of each partner’s role and function in a multi-tiered and multi-disciplin¬ary relationship"/>
      </w:tblPr>
      <w:tblGrid>
        <w:gridCol w:w="1520"/>
        <w:gridCol w:w="2726"/>
        <w:gridCol w:w="2314"/>
        <w:gridCol w:w="2250"/>
        <w:gridCol w:w="2548"/>
        <w:gridCol w:w="2520"/>
      </w:tblGrid>
      <w:tr w:rsidR="006529AD" w:rsidRPr="001F1209" w:rsidTr="00E42BB7">
        <w:trPr>
          <w:cnfStyle w:val="100000000000" w:firstRow="1" w:lastRow="0" w:firstColumn="0" w:lastColumn="0" w:oddVBand="0" w:evenVBand="0" w:oddHBand="0" w:evenHBand="0" w:firstRowFirstColumn="0" w:firstRowLastColumn="0" w:lastRowFirstColumn="0" w:lastRowLastColumn="0"/>
          <w:trHeight w:val="880"/>
          <w:tblHeader/>
        </w:trPr>
        <w:tc>
          <w:tcPr>
            <w:cnfStyle w:val="001000000000" w:firstRow="0" w:lastRow="0" w:firstColumn="1" w:lastColumn="0" w:oddVBand="0" w:evenVBand="0" w:oddHBand="0" w:evenHBand="0" w:firstRowFirstColumn="0" w:firstRowLastColumn="0" w:lastRowFirstColumn="0" w:lastRowLastColumn="0"/>
            <w:tcW w:w="13878" w:type="dxa"/>
            <w:gridSpan w:val="6"/>
            <w:shd w:val="clear" w:color="auto" w:fill="17365D" w:themeFill="text2" w:themeFillShade="BF"/>
            <w:vAlign w:val="center"/>
          </w:tcPr>
          <w:p w:rsidR="006D7AC2" w:rsidRPr="00E225CA" w:rsidRDefault="006D7AC2" w:rsidP="006D7AC2">
            <w:pPr>
              <w:pStyle w:val="Heading2"/>
              <w:spacing w:before="0"/>
              <w:jc w:val="center"/>
              <w:outlineLvl w:val="1"/>
              <w:rPr>
                <w:rFonts w:asciiTheme="minorHAnsi" w:hAnsiTheme="minorHAnsi"/>
                <w:b/>
                <w:sz w:val="24"/>
                <w:szCs w:val="28"/>
              </w:rPr>
            </w:pPr>
            <w:bookmarkStart w:id="0" w:name="_GoBack"/>
            <w:bookmarkEnd w:id="0"/>
            <w:r w:rsidRPr="00E225CA">
              <w:rPr>
                <w:rFonts w:asciiTheme="minorHAnsi" w:hAnsiTheme="minorHAnsi"/>
                <w:b/>
                <w:sz w:val="24"/>
                <w:szCs w:val="28"/>
              </w:rPr>
              <w:t xml:space="preserve">School Linked Mental Health (SLMH) </w:t>
            </w:r>
            <w:r w:rsidR="0012114F">
              <w:rPr>
                <w:rFonts w:asciiTheme="minorHAnsi" w:hAnsiTheme="minorHAnsi"/>
                <w:b/>
                <w:sz w:val="24"/>
                <w:szCs w:val="28"/>
              </w:rPr>
              <w:t xml:space="preserve">to Children and Families </w:t>
            </w:r>
            <w:proofErr w:type="gramStart"/>
            <w:r w:rsidR="0012114F">
              <w:rPr>
                <w:rFonts w:asciiTheme="minorHAnsi" w:hAnsiTheme="minorHAnsi"/>
                <w:b/>
                <w:sz w:val="24"/>
                <w:szCs w:val="28"/>
              </w:rPr>
              <w:t>Across</w:t>
            </w:r>
            <w:proofErr w:type="gramEnd"/>
            <w:r w:rsidR="0012114F">
              <w:rPr>
                <w:rFonts w:asciiTheme="minorHAnsi" w:hAnsiTheme="minorHAnsi"/>
                <w:b/>
                <w:sz w:val="24"/>
                <w:szCs w:val="28"/>
              </w:rPr>
              <w:t xml:space="preserve"> Minnesota</w:t>
            </w:r>
          </w:p>
          <w:p w:rsidR="006529AD" w:rsidRPr="001F1209" w:rsidRDefault="00D35FB9" w:rsidP="00D35FB9">
            <w:pPr>
              <w:pStyle w:val="Heading2"/>
              <w:spacing w:before="0"/>
              <w:jc w:val="center"/>
              <w:outlineLvl w:val="1"/>
              <w:rPr>
                <w:rFonts w:asciiTheme="minorHAnsi" w:hAnsiTheme="minorHAnsi"/>
                <w:b/>
                <w:sz w:val="28"/>
                <w:szCs w:val="28"/>
              </w:rPr>
            </w:pPr>
            <w:r>
              <w:rPr>
                <w:rFonts w:asciiTheme="minorHAnsi" w:hAnsiTheme="minorHAnsi"/>
                <w:b/>
                <w:sz w:val="24"/>
                <w:szCs w:val="28"/>
              </w:rPr>
              <w:t xml:space="preserve">SLMH &amp; School </w:t>
            </w:r>
            <w:r w:rsidR="0012114F">
              <w:rPr>
                <w:rFonts w:asciiTheme="minorHAnsi" w:hAnsiTheme="minorHAnsi"/>
                <w:b/>
                <w:sz w:val="24"/>
                <w:szCs w:val="28"/>
              </w:rPr>
              <w:t>Partnership Give and Get</w:t>
            </w:r>
            <w:r>
              <w:rPr>
                <w:rFonts w:asciiTheme="minorHAnsi" w:hAnsiTheme="minorHAnsi"/>
                <w:b/>
                <w:sz w:val="24"/>
                <w:szCs w:val="28"/>
              </w:rPr>
              <w:t xml:space="preserve"> Agreement </w:t>
            </w:r>
          </w:p>
        </w:tc>
      </w:tr>
      <w:tr w:rsidR="006529AD" w:rsidRPr="001F1209" w:rsidTr="00EC48CE">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520" w:type="dxa"/>
            <w:shd w:val="clear" w:color="auto" w:fill="17365D" w:themeFill="text2" w:themeFillShade="BF"/>
            <w:vAlign w:val="center"/>
          </w:tcPr>
          <w:p w:rsidR="006529AD" w:rsidRPr="001A4851" w:rsidRDefault="00D35FB9" w:rsidP="00A151E7">
            <w:pPr>
              <w:pStyle w:val="Heading2"/>
              <w:spacing w:before="0"/>
              <w:jc w:val="center"/>
              <w:outlineLvl w:val="1"/>
              <w:rPr>
                <w:rFonts w:asciiTheme="minorHAnsi" w:hAnsiTheme="minorHAnsi"/>
                <w:b/>
                <w:sz w:val="20"/>
                <w:szCs w:val="22"/>
              </w:rPr>
            </w:pPr>
            <w:r>
              <w:rPr>
                <w:rFonts w:asciiTheme="minorHAnsi" w:hAnsiTheme="minorHAnsi"/>
                <w:b/>
                <w:sz w:val="20"/>
                <w:szCs w:val="22"/>
              </w:rPr>
              <w:t>Focus Area</w:t>
            </w:r>
          </w:p>
        </w:tc>
        <w:tc>
          <w:tcPr>
            <w:tcW w:w="2726" w:type="dxa"/>
            <w:shd w:val="clear" w:color="auto" w:fill="8DB3E2" w:themeFill="text2" w:themeFillTint="66"/>
            <w:vAlign w:val="center"/>
          </w:tcPr>
          <w:p w:rsidR="006529AD" w:rsidRPr="001A4851" w:rsidRDefault="006D7AC2" w:rsidP="00F22528">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A4851">
              <w:rPr>
                <w:rFonts w:asciiTheme="minorHAnsi" w:hAnsiTheme="minorHAnsi"/>
                <w:sz w:val="20"/>
                <w:szCs w:val="22"/>
              </w:rPr>
              <w:t>SLMH</w:t>
            </w:r>
            <w:r w:rsidR="006529AD" w:rsidRPr="001A4851">
              <w:rPr>
                <w:rFonts w:asciiTheme="minorHAnsi" w:hAnsiTheme="minorHAnsi"/>
                <w:sz w:val="20"/>
                <w:szCs w:val="22"/>
              </w:rPr>
              <w:t xml:space="preserve"> Get</w:t>
            </w:r>
          </w:p>
        </w:tc>
        <w:tc>
          <w:tcPr>
            <w:tcW w:w="2314" w:type="dxa"/>
            <w:shd w:val="clear" w:color="auto" w:fill="8DB3E2" w:themeFill="text2" w:themeFillTint="66"/>
            <w:vAlign w:val="center"/>
          </w:tcPr>
          <w:p w:rsidR="006529AD" w:rsidRPr="001A4851" w:rsidRDefault="006D7AC2" w:rsidP="00F22528">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A4851">
              <w:rPr>
                <w:rFonts w:asciiTheme="minorHAnsi" w:hAnsiTheme="minorHAnsi"/>
                <w:sz w:val="20"/>
                <w:szCs w:val="22"/>
              </w:rPr>
              <w:t>School</w:t>
            </w:r>
            <w:r w:rsidR="006529AD" w:rsidRPr="001A4851">
              <w:rPr>
                <w:rFonts w:asciiTheme="minorHAnsi" w:hAnsiTheme="minorHAnsi"/>
                <w:sz w:val="20"/>
                <w:szCs w:val="22"/>
              </w:rPr>
              <w:t xml:space="preserve"> Get</w:t>
            </w:r>
          </w:p>
        </w:tc>
        <w:tc>
          <w:tcPr>
            <w:tcW w:w="2250" w:type="dxa"/>
            <w:shd w:val="clear" w:color="auto" w:fill="8DB3E2" w:themeFill="text2" w:themeFillTint="66"/>
            <w:vAlign w:val="center"/>
          </w:tcPr>
          <w:p w:rsidR="006529AD" w:rsidRPr="001A4851" w:rsidRDefault="006D7AC2" w:rsidP="00F22528">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A4851">
              <w:rPr>
                <w:rFonts w:asciiTheme="minorHAnsi" w:hAnsiTheme="minorHAnsi"/>
                <w:sz w:val="20"/>
                <w:szCs w:val="22"/>
              </w:rPr>
              <w:t xml:space="preserve">SLMH </w:t>
            </w:r>
            <w:r w:rsidR="006529AD" w:rsidRPr="001A4851">
              <w:rPr>
                <w:rFonts w:asciiTheme="minorHAnsi" w:hAnsiTheme="minorHAnsi"/>
                <w:sz w:val="20"/>
                <w:szCs w:val="22"/>
              </w:rPr>
              <w:t>Give</w:t>
            </w:r>
          </w:p>
        </w:tc>
        <w:tc>
          <w:tcPr>
            <w:tcW w:w="2548" w:type="dxa"/>
            <w:shd w:val="clear" w:color="auto" w:fill="8DB3E2" w:themeFill="text2" w:themeFillTint="66"/>
            <w:vAlign w:val="center"/>
          </w:tcPr>
          <w:p w:rsidR="006529AD" w:rsidRPr="001A4851" w:rsidRDefault="006D7AC2" w:rsidP="00F22528">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A4851">
              <w:rPr>
                <w:rFonts w:asciiTheme="minorHAnsi" w:hAnsiTheme="minorHAnsi"/>
                <w:sz w:val="20"/>
                <w:szCs w:val="22"/>
              </w:rPr>
              <w:t>School</w:t>
            </w:r>
            <w:r w:rsidR="006529AD" w:rsidRPr="001A4851">
              <w:rPr>
                <w:rFonts w:asciiTheme="minorHAnsi" w:hAnsiTheme="minorHAnsi"/>
                <w:sz w:val="20"/>
                <w:szCs w:val="22"/>
              </w:rPr>
              <w:t xml:space="preserve"> Give</w:t>
            </w:r>
          </w:p>
        </w:tc>
        <w:tc>
          <w:tcPr>
            <w:tcW w:w="2520" w:type="dxa"/>
            <w:shd w:val="clear" w:color="auto" w:fill="8DB3E2" w:themeFill="text2" w:themeFillTint="66"/>
            <w:vAlign w:val="center"/>
          </w:tcPr>
          <w:p w:rsidR="006529AD" w:rsidRPr="001A4851" w:rsidRDefault="006529AD" w:rsidP="00F22528">
            <w:pPr>
              <w:pStyle w:val="Heading2"/>
              <w:spacing w:before="0"/>
              <w:jc w:val="cente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A4851">
              <w:rPr>
                <w:rFonts w:asciiTheme="minorHAnsi" w:hAnsiTheme="minorHAnsi"/>
                <w:sz w:val="20"/>
                <w:szCs w:val="22"/>
              </w:rPr>
              <w:t>Shared Outcome</w:t>
            </w:r>
            <w:r w:rsidR="00A64E65" w:rsidRPr="001A4851">
              <w:rPr>
                <w:rFonts w:asciiTheme="minorHAnsi" w:hAnsiTheme="minorHAnsi"/>
                <w:sz w:val="20"/>
                <w:szCs w:val="22"/>
              </w:rPr>
              <w:t>s</w:t>
            </w:r>
          </w:p>
        </w:tc>
      </w:tr>
      <w:tr w:rsidR="001F1209" w:rsidRPr="001F1209" w:rsidTr="00EC48CE">
        <w:trPr>
          <w:trHeight w:val="2321"/>
        </w:trPr>
        <w:tc>
          <w:tcPr>
            <w:cnfStyle w:val="001000000000" w:firstRow="0" w:lastRow="0" w:firstColumn="1" w:lastColumn="0" w:oddVBand="0" w:evenVBand="0" w:oddHBand="0" w:evenHBand="0" w:firstRowFirstColumn="0" w:firstRowLastColumn="0" w:lastRowFirstColumn="0" w:lastRowLastColumn="0"/>
            <w:tcW w:w="1520" w:type="dxa"/>
            <w:shd w:val="clear" w:color="auto" w:fill="17365D" w:themeFill="text2" w:themeFillShade="BF"/>
          </w:tcPr>
          <w:p w:rsidR="001F1209" w:rsidRPr="007345E1" w:rsidRDefault="007345E1" w:rsidP="001F1209">
            <w:pPr>
              <w:pStyle w:val="Heading2"/>
              <w:outlineLvl w:val="1"/>
              <w:rPr>
                <w:rFonts w:asciiTheme="minorHAnsi" w:hAnsiTheme="minorHAnsi"/>
                <w:b/>
                <w:sz w:val="20"/>
                <w:szCs w:val="22"/>
              </w:rPr>
            </w:pPr>
            <w:r>
              <w:rPr>
                <w:rFonts w:asciiTheme="minorHAnsi" w:hAnsiTheme="minorHAnsi"/>
                <w:b/>
                <w:sz w:val="20"/>
                <w:szCs w:val="22"/>
              </w:rPr>
              <w:t>C</w:t>
            </w:r>
            <w:r w:rsidR="004D6E03" w:rsidRPr="007345E1">
              <w:rPr>
                <w:rFonts w:asciiTheme="minorHAnsi" w:hAnsiTheme="minorHAnsi"/>
                <w:b/>
                <w:sz w:val="20"/>
                <w:szCs w:val="22"/>
              </w:rPr>
              <w:t>ollaboratively identifying and</w:t>
            </w:r>
            <w:r w:rsidR="006D7AC2" w:rsidRPr="007345E1">
              <w:rPr>
                <w:rFonts w:asciiTheme="minorHAnsi" w:hAnsiTheme="minorHAnsi"/>
                <w:b/>
                <w:sz w:val="20"/>
                <w:szCs w:val="22"/>
              </w:rPr>
              <w:t xml:space="preserve"> implementing an Evidence Based Practice</w:t>
            </w:r>
            <w:r w:rsidR="000B5405" w:rsidRPr="007345E1">
              <w:rPr>
                <w:rFonts w:asciiTheme="minorHAnsi" w:hAnsiTheme="minorHAnsi"/>
                <w:b/>
                <w:sz w:val="20"/>
                <w:szCs w:val="22"/>
              </w:rPr>
              <w:t xml:space="preserve"> </w:t>
            </w:r>
            <w:r w:rsidR="006D7AC2" w:rsidRPr="007345E1">
              <w:rPr>
                <w:rFonts w:asciiTheme="minorHAnsi" w:hAnsiTheme="minorHAnsi"/>
                <w:b/>
                <w:sz w:val="20"/>
                <w:szCs w:val="22"/>
              </w:rPr>
              <w:t>(EBP)</w:t>
            </w:r>
          </w:p>
        </w:tc>
        <w:tc>
          <w:tcPr>
            <w:tcW w:w="2726" w:type="dxa"/>
            <w:shd w:val="clear" w:color="auto" w:fill="C6D9F1" w:themeFill="text2" w:themeFillTint="33"/>
          </w:tcPr>
          <w:p w:rsidR="001F1209" w:rsidRPr="001A4851" w:rsidRDefault="006D7AC2" w:rsidP="00895936">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SLMH staff</w:t>
            </w:r>
            <w:r w:rsidR="00E225CA">
              <w:rPr>
                <w:rFonts w:asciiTheme="minorHAnsi" w:hAnsiTheme="minorHAnsi"/>
                <w:b w:val="0"/>
                <w:sz w:val="20"/>
                <w:szCs w:val="21"/>
              </w:rPr>
              <w:t xml:space="preserve"> have a clear understanding </w:t>
            </w:r>
            <w:r w:rsidR="00787B9D">
              <w:rPr>
                <w:rFonts w:asciiTheme="minorHAnsi" w:hAnsiTheme="minorHAnsi"/>
                <w:b w:val="0"/>
                <w:sz w:val="20"/>
                <w:szCs w:val="21"/>
              </w:rPr>
              <w:t>of how to implement the identified EBP</w:t>
            </w:r>
            <w:r w:rsidR="000B5405">
              <w:rPr>
                <w:rFonts w:asciiTheme="minorHAnsi" w:hAnsiTheme="minorHAnsi"/>
                <w:b w:val="0"/>
                <w:sz w:val="20"/>
                <w:szCs w:val="21"/>
              </w:rPr>
              <w:t xml:space="preserve"> via direct clinical services and/or ancillary supports </w:t>
            </w:r>
            <w:r w:rsidR="00787B9D">
              <w:rPr>
                <w:rFonts w:asciiTheme="minorHAnsi" w:hAnsiTheme="minorHAnsi"/>
                <w:b w:val="0"/>
                <w:sz w:val="20"/>
                <w:szCs w:val="21"/>
              </w:rPr>
              <w:t xml:space="preserve">within the context and needs of the </w:t>
            </w:r>
            <w:r w:rsidR="00895936">
              <w:rPr>
                <w:rFonts w:asciiTheme="minorHAnsi" w:hAnsiTheme="minorHAnsi"/>
                <w:b w:val="0"/>
                <w:sz w:val="20"/>
                <w:szCs w:val="21"/>
              </w:rPr>
              <w:t xml:space="preserve">partnering </w:t>
            </w:r>
            <w:r w:rsidR="00787B9D">
              <w:rPr>
                <w:rFonts w:asciiTheme="minorHAnsi" w:hAnsiTheme="minorHAnsi"/>
                <w:b w:val="0"/>
                <w:sz w:val="20"/>
                <w:szCs w:val="21"/>
              </w:rPr>
              <w:t xml:space="preserve">school </w:t>
            </w:r>
          </w:p>
        </w:tc>
        <w:tc>
          <w:tcPr>
            <w:tcW w:w="2314" w:type="dxa"/>
            <w:shd w:val="clear" w:color="auto" w:fill="C6D9F1" w:themeFill="text2" w:themeFillTint="33"/>
          </w:tcPr>
          <w:p w:rsidR="001F1209" w:rsidRPr="001A4851" w:rsidRDefault="006D7AC2" w:rsidP="000B5405">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School</w:t>
            </w:r>
            <w:r w:rsidR="001F1209" w:rsidRPr="001A4851">
              <w:rPr>
                <w:rFonts w:asciiTheme="minorHAnsi" w:hAnsiTheme="minorHAnsi"/>
                <w:b w:val="0"/>
                <w:sz w:val="20"/>
                <w:szCs w:val="21"/>
              </w:rPr>
              <w:t xml:space="preserve"> </w:t>
            </w:r>
            <w:r w:rsidR="007345E1">
              <w:rPr>
                <w:rFonts w:asciiTheme="minorHAnsi" w:hAnsiTheme="minorHAnsi"/>
                <w:b w:val="0"/>
                <w:sz w:val="20"/>
                <w:szCs w:val="21"/>
              </w:rPr>
              <w:t>staff</w:t>
            </w:r>
            <w:r w:rsidR="00787B9D">
              <w:rPr>
                <w:rFonts w:asciiTheme="minorHAnsi" w:hAnsiTheme="minorHAnsi"/>
                <w:b w:val="0"/>
                <w:sz w:val="20"/>
                <w:szCs w:val="21"/>
              </w:rPr>
              <w:t xml:space="preserve"> have a clear understanding of the capacity of the SLMH provider agency to implement the EBP</w:t>
            </w:r>
            <w:r w:rsidR="000B5405">
              <w:rPr>
                <w:rFonts w:asciiTheme="minorHAnsi" w:hAnsiTheme="minorHAnsi"/>
                <w:b w:val="0"/>
                <w:sz w:val="20"/>
                <w:szCs w:val="21"/>
              </w:rPr>
              <w:t xml:space="preserve"> within their school via direct clinical services and/or ancillary supports</w:t>
            </w:r>
          </w:p>
        </w:tc>
        <w:tc>
          <w:tcPr>
            <w:tcW w:w="2250" w:type="dxa"/>
            <w:shd w:val="clear" w:color="auto" w:fill="C6D9F1" w:themeFill="text2" w:themeFillTint="33"/>
          </w:tcPr>
          <w:p w:rsidR="001F1209" w:rsidRPr="001A4851" w:rsidRDefault="007345E1" w:rsidP="00E54877">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1"/>
              </w:rPr>
            </w:pPr>
            <w:r>
              <w:rPr>
                <w:rFonts w:asciiTheme="minorHAnsi" w:hAnsiTheme="minorHAnsi"/>
                <w:b w:val="0"/>
                <w:sz w:val="20"/>
                <w:szCs w:val="21"/>
              </w:rPr>
              <w:t>SLMH s</w:t>
            </w:r>
            <w:r w:rsidR="00FA6523">
              <w:rPr>
                <w:rFonts w:asciiTheme="minorHAnsi" w:hAnsiTheme="minorHAnsi"/>
                <w:b w:val="0"/>
                <w:sz w:val="20"/>
                <w:szCs w:val="21"/>
              </w:rPr>
              <w:t xml:space="preserve">taff provide </w:t>
            </w:r>
            <w:r w:rsidR="00E54877">
              <w:rPr>
                <w:rFonts w:asciiTheme="minorHAnsi" w:hAnsiTheme="minorHAnsi"/>
                <w:b w:val="0"/>
                <w:sz w:val="20"/>
                <w:szCs w:val="21"/>
              </w:rPr>
              <w:t xml:space="preserve">a menu of opportunities of EBPs, direct clinical services and/or ancillary services (e.g., </w:t>
            </w:r>
            <w:r w:rsidR="00FA6523">
              <w:rPr>
                <w:rFonts w:asciiTheme="minorHAnsi" w:hAnsiTheme="minorHAnsi"/>
                <w:b w:val="0"/>
                <w:sz w:val="20"/>
                <w:szCs w:val="21"/>
              </w:rPr>
              <w:t>training</w:t>
            </w:r>
            <w:r w:rsidR="00E54877">
              <w:rPr>
                <w:rFonts w:asciiTheme="minorHAnsi" w:hAnsiTheme="minorHAnsi"/>
                <w:b w:val="0"/>
                <w:sz w:val="20"/>
                <w:szCs w:val="21"/>
              </w:rPr>
              <w:t xml:space="preserve">, consultation, etc.) available to support the requirements and priorities of the grant </w:t>
            </w:r>
          </w:p>
        </w:tc>
        <w:tc>
          <w:tcPr>
            <w:tcW w:w="2548" w:type="dxa"/>
            <w:shd w:val="clear" w:color="auto" w:fill="C6D9F1" w:themeFill="text2" w:themeFillTint="33"/>
          </w:tcPr>
          <w:p w:rsidR="001F1209" w:rsidRPr="001A4851" w:rsidRDefault="001F1209" w:rsidP="006D7AC2">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S</w:t>
            </w:r>
            <w:r w:rsidR="00E54877">
              <w:rPr>
                <w:rFonts w:asciiTheme="minorHAnsi" w:hAnsiTheme="minorHAnsi"/>
                <w:b w:val="0"/>
                <w:sz w:val="20"/>
                <w:szCs w:val="21"/>
              </w:rPr>
              <w:t>chool s</w:t>
            </w:r>
            <w:r w:rsidRPr="001A4851">
              <w:rPr>
                <w:rFonts w:asciiTheme="minorHAnsi" w:hAnsiTheme="minorHAnsi"/>
                <w:b w:val="0"/>
                <w:sz w:val="20"/>
                <w:szCs w:val="21"/>
              </w:rPr>
              <w:t>taff</w:t>
            </w:r>
            <w:r w:rsidR="00E54877">
              <w:rPr>
                <w:rFonts w:asciiTheme="minorHAnsi" w:hAnsiTheme="minorHAnsi"/>
                <w:b w:val="0"/>
                <w:sz w:val="20"/>
                <w:szCs w:val="21"/>
              </w:rPr>
              <w:t xml:space="preserve"> will provide</w:t>
            </w:r>
            <w:r w:rsidRPr="001A4851">
              <w:rPr>
                <w:rFonts w:asciiTheme="minorHAnsi" w:hAnsiTheme="minorHAnsi"/>
                <w:b w:val="0"/>
                <w:sz w:val="20"/>
                <w:szCs w:val="21"/>
              </w:rPr>
              <w:t xml:space="preserve"> time</w:t>
            </w:r>
            <w:r w:rsidR="006D7AC2" w:rsidRPr="001A4851">
              <w:rPr>
                <w:rFonts w:asciiTheme="minorHAnsi" w:hAnsiTheme="minorHAnsi"/>
                <w:b w:val="0"/>
                <w:sz w:val="20"/>
                <w:szCs w:val="21"/>
              </w:rPr>
              <w:t>, resources and appropriate space to implement SLMH EBP</w:t>
            </w:r>
            <w:r w:rsidR="00E54877">
              <w:rPr>
                <w:rFonts w:asciiTheme="minorHAnsi" w:hAnsiTheme="minorHAnsi"/>
                <w:b w:val="0"/>
                <w:sz w:val="20"/>
                <w:szCs w:val="21"/>
              </w:rPr>
              <w:t xml:space="preserve"> (clinical service or and/or ancillary services)</w:t>
            </w:r>
            <w:r w:rsidR="007345E1">
              <w:rPr>
                <w:rFonts w:asciiTheme="minorHAnsi" w:hAnsiTheme="minorHAnsi"/>
                <w:b w:val="0"/>
                <w:sz w:val="20"/>
                <w:szCs w:val="21"/>
              </w:rPr>
              <w:t xml:space="preserve"> within </w:t>
            </w:r>
            <w:r w:rsidR="006D7AC2" w:rsidRPr="001A4851">
              <w:rPr>
                <w:rFonts w:asciiTheme="minorHAnsi" w:hAnsiTheme="minorHAnsi"/>
                <w:b w:val="0"/>
                <w:sz w:val="20"/>
                <w:szCs w:val="21"/>
              </w:rPr>
              <w:t>existing multi-tiered system of support (MTSS)</w:t>
            </w:r>
            <w:r w:rsidR="0049790F">
              <w:rPr>
                <w:rFonts w:asciiTheme="minorHAnsi" w:hAnsiTheme="minorHAnsi"/>
                <w:b w:val="0"/>
                <w:sz w:val="20"/>
                <w:szCs w:val="21"/>
              </w:rPr>
              <w:t xml:space="preserve"> e.g., PBIS</w:t>
            </w:r>
            <w:r w:rsidR="006D7AC2" w:rsidRPr="001A4851">
              <w:rPr>
                <w:rFonts w:asciiTheme="minorHAnsi" w:hAnsiTheme="minorHAnsi"/>
                <w:b w:val="0"/>
                <w:sz w:val="20"/>
                <w:szCs w:val="21"/>
              </w:rPr>
              <w:t xml:space="preserve"> </w:t>
            </w:r>
          </w:p>
        </w:tc>
        <w:tc>
          <w:tcPr>
            <w:tcW w:w="2520" w:type="dxa"/>
            <w:shd w:val="clear" w:color="auto" w:fill="C6D9F1" w:themeFill="text2" w:themeFillTint="33"/>
          </w:tcPr>
          <w:p w:rsidR="001F1209" w:rsidRPr="001A4851" w:rsidRDefault="006D7AC2" w:rsidP="004D6E03">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SLMH staff</w:t>
            </w:r>
            <w:r w:rsidR="00E225CA">
              <w:rPr>
                <w:rFonts w:asciiTheme="minorHAnsi" w:hAnsiTheme="minorHAnsi"/>
                <w:b w:val="0"/>
                <w:sz w:val="20"/>
                <w:szCs w:val="21"/>
              </w:rPr>
              <w:t xml:space="preserve"> grantee</w:t>
            </w:r>
            <w:r w:rsidRPr="001A4851">
              <w:rPr>
                <w:rFonts w:asciiTheme="minorHAnsi" w:hAnsiTheme="minorHAnsi"/>
                <w:b w:val="0"/>
                <w:sz w:val="20"/>
                <w:szCs w:val="21"/>
              </w:rPr>
              <w:t xml:space="preserve"> and </w:t>
            </w:r>
            <w:r w:rsidR="00FA6523">
              <w:rPr>
                <w:rFonts w:asciiTheme="minorHAnsi" w:hAnsiTheme="minorHAnsi"/>
                <w:b w:val="0"/>
                <w:sz w:val="20"/>
                <w:szCs w:val="21"/>
              </w:rPr>
              <w:t xml:space="preserve">designated </w:t>
            </w:r>
            <w:r w:rsidRPr="001A4851">
              <w:rPr>
                <w:rFonts w:asciiTheme="minorHAnsi" w:hAnsiTheme="minorHAnsi"/>
                <w:b w:val="0"/>
                <w:sz w:val="20"/>
                <w:szCs w:val="21"/>
              </w:rPr>
              <w:t>school staff</w:t>
            </w:r>
            <w:r w:rsidR="00E225CA">
              <w:rPr>
                <w:rFonts w:asciiTheme="minorHAnsi" w:hAnsiTheme="minorHAnsi"/>
                <w:b w:val="0"/>
                <w:sz w:val="20"/>
                <w:szCs w:val="21"/>
              </w:rPr>
              <w:t xml:space="preserve"> have identified (e.g., resource mapping) agreed upon EBPs across the tiers and </w:t>
            </w:r>
            <w:r w:rsidR="00FA6523">
              <w:rPr>
                <w:rFonts w:asciiTheme="minorHAnsi" w:hAnsiTheme="minorHAnsi"/>
                <w:b w:val="0"/>
                <w:sz w:val="20"/>
                <w:szCs w:val="21"/>
              </w:rPr>
              <w:t>are implementing the identified EBP</w:t>
            </w:r>
            <w:r w:rsidR="00E225CA">
              <w:rPr>
                <w:rFonts w:asciiTheme="minorHAnsi" w:hAnsiTheme="minorHAnsi"/>
                <w:b w:val="0"/>
                <w:sz w:val="20"/>
                <w:szCs w:val="21"/>
              </w:rPr>
              <w:t xml:space="preserve">s with fidelity </w:t>
            </w:r>
          </w:p>
        </w:tc>
      </w:tr>
      <w:tr w:rsidR="00B8755B" w:rsidRPr="001F1209" w:rsidTr="00EC4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shd w:val="clear" w:color="auto" w:fill="17365D" w:themeFill="text2" w:themeFillShade="BF"/>
          </w:tcPr>
          <w:p w:rsidR="00B8755B" w:rsidRPr="007345E1" w:rsidRDefault="00B8755B" w:rsidP="00B8755B">
            <w:pPr>
              <w:pStyle w:val="Heading2"/>
              <w:outlineLvl w:val="1"/>
              <w:rPr>
                <w:rFonts w:asciiTheme="minorHAnsi" w:hAnsiTheme="minorHAnsi"/>
                <w:b/>
                <w:sz w:val="20"/>
                <w:szCs w:val="22"/>
              </w:rPr>
            </w:pPr>
            <w:r w:rsidRPr="007345E1">
              <w:rPr>
                <w:rFonts w:asciiTheme="minorHAnsi" w:hAnsiTheme="minorHAnsi"/>
                <w:b/>
                <w:sz w:val="20"/>
                <w:szCs w:val="22"/>
              </w:rPr>
              <w:t>Data-based decision making</w:t>
            </w:r>
          </w:p>
        </w:tc>
        <w:tc>
          <w:tcPr>
            <w:tcW w:w="2726" w:type="dxa"/>
            <w:shd w:val="clear" w:color="auto" w:fill="DBE5F1" w:themeFill="accent1" w:themeFillTint="33"/>
          </w:tcPr>
          <w:p w:rsidR="00B8755B" w:rsidRPr="001A4851" w:rsidRDefault="006D7AC2" w:rsidP="001D26C5">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 xml:space="preserve">Access to </w:t>
            </w:r>
            <w:r w:rsidR="00B8755B" w:rsidRPr="001A4851">
              <w:rPr>
                <w:rFonts w:asciiTheme="minorHAnsi" w:hAnsiTheme="minorHAnsi"/>
                <w:b w:val="0"/>
                <w:sz w:val="20"/>
                <w:szCs w:val="21"/>
              </w:rPr>
              <w:t>data</w:t>
            </w:r>
            <w:r w:rsidRPr="001A4851">
              <w:rPr>
                <w:rFonts w:asciiTheme="minorHAnsi" w:hAnsiTheme="minorHAnsi"/>
                <w:b w:val="0"/>
                <w:sz w:val="20"/>
                <w:szCs w:val="21"/>
              </w:rPr>
              <w:t xml:space="preserve"> reflecting school </w:t>
            </w:r>
            <w:hyperlink r:id="rId8" w:history="1">
              <w:r w:rsidRPr="0026316D">
                <w:rPr>
                  <w:rStyle w:val="Hyperlink"/>
                  <w:rFonts w:asciiTheme="minorHAnsi" w:hAnsiTheme="minorHAnsi"/>
                  <w:b w:val="0"/>
                  <w:sz w:val="20"/>
                  <w:szCs w:val="21"/>
                </w:rPr>
                <w:t>MTSS</w:t>
              </w:r>
            </w:hyperlink>
            <w:r w:rsidR="00895936">
              <w:rPr>
                <w:rFonts w:asciiTheme="minorHAnsi" w:hAnsiTheme="minorHAnsi"/>
                <w:b w:val="0"/>
                <w:sz w:val="20"/>
                <w:szCs w:val="21"/>
              </w:rPr>
              <w:t>*</w:t>
            </w:r>
            <w:r w:rsidRPr="001A4851">
              <w:rPr>
                <w:rFonts w:asciiTheme="minorHAnsi" w:hAnsiTheme="minorHAnsi"/>
                <w:b w:val="0"/>
                <w:sz w:val="20"/>
                <w:szCs w:val="21"/>
              </w:rPr>
              <w:t xml:space="preserve"> system</w:t>
            </w:r>
            <w:r w:rsidR="00852794">
              <w:rPr>
                <w:rFonts w:asciiTheme="minorHAnsi" w:hAnsiTheme="minorHAnsi"/>
                <w:b w:val="0"/>
                <w:sz w:val="20"/>
                <w:szCs w:val="21"/>
              </w:rPr>
              <w:t xml:space="preserve"> (e.g., </w:t>
            </w:r>
            <w:hyperlink r:id="rId9" w:history="1">
              <w:r w:rsidR="00852794" w:rsidRPr="0026316D">
                <w:rPr>
                  <w:rStyle w:val="Hyperlink"/>
                  <w:rFonts w:asciiTheme="minorHAnsi" w:hAnsiTheme="minorHAnsi"/>
                  <w:b w:val="0"/>
                  <w:sz w:val="20"/>
                  <w:szCs w:val="21"/>
                </w:rPr>
                <w:t>PBIS</w:t>
              </w:r>
            </w:hyperlink>
            <w:r w:rsidR="00852794">
              <w:rPr>
                <w:rFonts w:asciiTheme="minorHAnsi" w:hAnsiTheme="minorHAnsi"/>
                <w:b w:val="0"/>
                <w:sz w:val="20"/>
                <w:szCs w:val="21"/>
              </w:rPr>
              <w:t>)</w:t>
            </w:r>
            <w:r w:rsidR="00B8755B" w:rsidRPr="001A4851">
              <w:rPr>
                <w:rFonts w:asciiTheme="minorHAnsi" w:hAnsiTheme="minorHAnsi"/>
                <w:b w:val="0"/>
                <w:sz w:val="20"/>
                <w:szCs w:val="21"/>
              </w:rPr>
              <w:t>,</w:t>
            </w:r>
            <w:r w:rsidR="001D26C5" w:rsidRPr="001A4851">
              <w:rPr>
                <w:rFonts w:asciiTheme="minorHAnsi" w:hAnsiTheme="minorHAnsi"/>
                <w:b w:val="0"/>
                <w:sz w:val="20"/>
                <w:szCs w:val="21"/>
              </w:rPr>
              <w:t xml:space="preserve"> including a process to identify students needing additional support and or who would benefit from the identified SLMH EBP</w:t>
            </w:r>
            <w:r w:rsidR="00B8755B" w:rsidRPr="001A4851">
              <w:rPr>
                <w:rFonts w:asciiTheme="minorHAnsi" w:hAnsiTheme="minorHAnsi"/>
                <w:b w:val="0"/>
                <w:sz w:val="20"/>
                <w:szCs w:val="21"/>
              </w:rPr>
              <w:t xml:space="preserve"> </w:t>
            </w:r>
          </w:p>
        </w:tc>
        <w:tc>
          <w:tcPr>
            <w:tcW w:w="2314" w:type="dxa"/>
            <w:shd w:val="clear" w:color="auto" w:fill="DBE5F1" w:themeFill="accent1" w:themeFillTint="33"/>
          </w:tcPr>
          <w:p w:rsidR="004F477E" w:rsidRPr="001A4851" w:rsidRDefault="006D7AC2" w:rsidP="006D7AC2">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 xml:space="preserve">Transparency and precision in the identification of students who </w:t>
            </w:r>
            <w:r w:rsidR="00A14383">
              <w:rPr>
                <w:rFonts w:asciiTheme="minorHAnsi" w:hAnsiTheme="minorHAnsi"/>
                <w:b w:val="0"/>
                <w:sz w:val="20"/>
                <w:szCs w:val="21"/>
              </w:rPr>
              <w:t xml:space="preserve">would benefit from SLMH EBP, </w:t>
            </w:r>
            <w:r w:rsidRPr="001A4851">
              <w:rPr>
                <w:rFonts w:asciiTheme="minorHAnsi" w:hAnsiTheme="minorHAnsi"/>
                <w:b w:val="0"/>
                <w:sz w:val="20"/>
                <w:szCs w:val="21"/>
              </w:rPr>
              <w:t>evidence of implementation</w:t>
            </w:r>
            <w:r w:rsidR="00051D6C">
              <w:rPr>
                <w:rFonts w:asciiTheme="minorHAnsi" w:hAnsiTheme="minorHAnsi"/>
                <w:b w:val="0"/>
                <w:sz w:val="20"/>
                <w:szCs w:val="21"/>
              </w:rPr>
              <w:t xml:space="preserve"> with fidelity</w:t>
            </w:r>
            <w:r w:rsidR="00A14383">
              <w:rPr>
                <w:rFonts w:asciiTheme="minorHAnsi" w:hAnsiTheme="minorHAnsi"/>
                <w:b w:val="0"/>
                <w:sz w:val="20"/>
                <w:szCs w:val="21"/>
              </w:rPr>
              <w:t xml:space="preserve"> (e.g., </w:t>
            </w:r>
            <w:hyperlink r:id="rId10" w:history="1">
              <w:r w:rsidR="00A14383" w:rsidRPr="00A14383">
                <w:rPr>
                  <w:rStyle w:val="Hyperlink"/>
                  <w:rFonts w:asciiTheme="minorHAnsi" w:hAnsiTheme="minorHAnsi"/>
                  <w:b w:val="0"/>
                  <w:sz w:val="20"/>
                  <w:szCs w:val="21"/>
                </w:rPr>
                <w:t>Tiered Fidelity Inventory</w:t>
              </w:r>
            </w:hyperlink>
            <w:r w:rsidR="00A14383">
              <w:rPr>
                <w:rFonts w:asciiTheme="minorHAnsi" w:hAnsiTheme="minorHAnsi"/>
                <w:b w:val="0"/>
                <w:sz w:val="20"/>
                <w:szCs w:val="21"/>
              </w:rPr>
              <w:t xml:space="preserve">) </w:t>
            </w:r>
            <w:r w:rsidR="00A14383" w:rsidRPr="001A4851">
              <w:rPr>
                <w:rFonts w:asciiTheme="minorHAnsi" w:hAnsiTheme="minorHAnsi"/>
                <w:b w:val="0"/>
                <w:sz w:val="20"/>
                <w:szCs w:val="21"/>
              </w:rPr>
              <w:t>and</w:t>
            </w:r>
            <w:r w:rsidRPr="001A4851">
              <w:rPr>
                <w:rFonts w:asciiTheme="minorHAnsi" w:hAnsiTheme="minorHAnsi"/>
                <w:b w:val="0"/>
                <w:sz w:val="20"/>
                <w:szCs w:val="21"/>
              </w:rPr>
              <w:t xml:space="preserve"> student progress</w:t>
            </w:r>
          </w:p>
        </w:tc>
        <w:tc>
          <w:tcPr>
            <w:tcW w:w="2250" w:type="dxa"/>
            <w:shd w:val="clear" w:color="auto" w:fill="DBE5F1" w:themeFill="accent1" w:themeFillTint="33"/>
          </w:tcPr>
          <w:p w:rsidR="00B8755B" w:rsidRPr="001A4851" w:rsidRDefault="00B8755B" w:rsidP="001D26C5">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A</w:t>
            </w:r>
            <w:r w:rsidR="001D26C5" w:rsidRPr="001A4851">
              <w:rPr>
                <w:rFonts w:asciiTheme="minorHAnsi" w:hAnsiTheme="minorHAnsi"/>
                <w:b w:val="0"/>
                <w:sz w:val="20"/>
                <w:szCs w:val="21"/>
              </w:rPr>
              <w:t>greement to collect and share implementation and progress data within the guidelines of both educational and medical legal requirements (i.e., HIPPA, FERPA)</w:t>
            </w:r>
            <w:r w:rsidR="00965C01" w:rsidRPr="001A4851">
              <w:rPr>
                <w:rFonts w:asciiTheme="minorHAnsi" w:hAnsiTheme="minorHAnsi"/>
                <w:b w:val="0"/>
                <w:sz w:val="20"/>
                <w:szCs w:val="21"/>
              </w:rPr>
              <w:t xml:space="preserve"> with</w:t>
            </w:r>
            <w:r w:rsidR="00FB2EDB">
              <w:rPr>
                <w:rFonts w:asciiTheme="minorHAnsi" w:hAnsiTheme="minorHAnsi"/>
                <w:b w:val="0"/>
                <w:sz w:val="20"/>
                <w:szCs w:val="21"/>
              </w:rPr>
              <w:t xml:space="preserve"> designated</w:t>
            </w:r>
            <w:r w:rsidR="00965C01" w:rsidRPr="001A4851">
              <w:rPr>
                <w:rFonts w:asciiTheme="minorHAnsi" w:hAnsiTheme="minorHAnsi"/>
                <w:b w:val="0"/>
                <w:sz w:val="20"/>
                <w:szCs w:val="21"/>
              </w:rPr>
              <w:t xml:space="preserve"> school team</w:t>
            </w:r>
          </w:p>
        </w:tc>
        <w:tc>
          <w:tcPr>
            <w:tcW w:w="2548" w:type="dxa"/>
            <w:shd w:val="clear" w:color="auto" w:fill="DBE5F1" w:themeFill="accent1" w:themeFillTint="33"/>
          </w:tcPr>
          <w:p w:rsidR="00B8755B" w:rsidRPr="001A4851" w:rsidRDefault="001D26C5" w:rsidP="00585705">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Provide regular access to data review meetings to systematically identify students,</w:t>
            </w:r>
            <w:r w:rsidR="00FB2EDB">
              <w:rPr>
                <w:rFonts w:asciiTheme="minorHAnsi" w:hAnsiTheme="minorHAnsi"/>
                <w:b w:val="0"/>
                <w:sz w:val="20"/>
                <w:szCs w:val="21"/>
              </w:rPr>
              <w:t xml:space="preserve"> or</w:t>
            </w:r>
            <w:r w:rsidRPr="001A4851">
              <w:rPr>
                <w:rFonts w:asciiTheme="minorHAnsi" w:hAnsiTheme="minorHAnsi"/>
                <w:b w:val="0"/>
                <w:sz w:val="20"/>
                <w:szCs w:val="21"/>
              </w:rPr>
              <w:t xml:space="preserve"> groups of students who would likely benefit from SLMH EBP</w:t>
            </w:r>
          </w:p>
        </w:tc>
        <w:tc>
          <w:tcPr>
            <w:tcW w:w="2520" w:type="dxa"/>
            <w:shd w:val="clear" w:color="auto" w:fill="DBE5F1" w:themeFill="accent1" w:themeFillTint="33"/>
          </w:tcPr>
          <w:p w:rsidR="00B8755B" w:rsidRPr="001A4851" w:rsidRDefault="001D26C5" w:rsidP="00585705">
            <w:pPr>
              <w:pStyle w:val="Heading2"/>
              <w:spacing w:before="120"/>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Transparency in the process of monitoring the implementation of the SLMH EBP, identification of students who would benefit from SLMH EBP and progress data for both</w:t>
            </w:r>
          </w:p>
        </w:tc>
      </w:tr>
      <w:tr w:rsidR="00EE0697" w:rsidRPr="001F1209" w:rsidTr="00EC48CE">
        <w:tc>
          <w:tcPr>
            <w:cnfStyle w:val="001000000000" w:firstRow="0" w:lastRow="0" w:firstColumn="1" w:lastColumn="0" w:oddVBand="0" w:evenVBand="0" w:oddHBand="0" w:evenHBand="0" w:firstRowFirstColumn="0" w:firstRowLastColumn="0" w:lastRowFirstColumn="0" w:lastRowLastColumn="0"/>
            <w:tcW w:w="1520" w:type="dxa"/>
            <w:shd w:val="clear" w:color="auto" w:fill="17365D" w:themeFill="text2" w:themeFillShade="BF"/>
          </w:tcPr>
          <w:p w:rsidR="006529AD" w:rsidRPr="007345E1" w:rsidRDefault="001D26C5" w:rsidP="009E2FF3">
            <w:pPr>
              <w:pStyle w:val="Heading2"/>
              <w:outlineLvl w:val="1"/>
              <w:rPr>
                <w:rFonts w:asciiTheme="minorHAnsi" w:hAnsiTheme="minorHAnsi"/>
                <w:b/>
                <w:sz w:val="20"/>
                <w:szCs w:val="22"/>
              </w:rPr>
            </w:pPr>
            <w:r w:rsidRPr="007345E1">
              <w:rPr>
                <w:rFonts w:asciiTheme="minorHAnsi" w:hAnsiTheme="minorHAnsi"/>
                <w:b/>
                <w:sz w:val="20"/>
                <w:szCs w:val="22"/>
              </w:rPr>
              <w:t>Professional Development (PD)</w:t>
            </w:r>
          </w:p>
        </w:tc>
        <w:tc>
          <w:tcPr>
            <w:tcW w:w="2726" w:type="dxa"/>
            <w:tcBorders>
              <w:top w:val="single" w:sz="8" w:space="0" w:color="FFFFFF" w:themeColor="background1"/>
              <w:bottom w:val="single" w:sz="8" w:space="0" w:color="FFFFFF" w:themeColor="background1"/>
            </w:tcBorders>
            <w:shd w:val="clear" w:color="auto" w:fill="C6D9F1" w:themeFill="text2" w:themeFillTint="33"/>
          </w:tcPr>
          <w:p w:rsidR="006529AD" w:rsidRPr="001A4851" w:rsidRDefault="001D26C5" w:rsidP="001D26C5">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SLMH team staff will have opportunity to participate in school PD opportunities to understand the culture of a school building</w:t>
            </w:r>
            <w:r w:rsidR="00965C01" w:rsidRPr="001A4851">
              <w:rPr>
                <w:rFonts w:asciiTheme="minorHAnsi" w:hAnsiTheme="minorHAnsi"/>
                <w:b w:val="0"/>
                <w:sz w:val="20"/>
                <w:szCs w:val="21"/>
              </w:rPr>
              <w:t xml:space="preserve"> and how SLMH services can be aligned within the educational setting</w:t>
            </w:r>
          </w:p>
        </w:tc>
        <w:tc>
          <w:tcPr>
            <w:tcW w:w="2314" w:type="dxa"/>
            <w:tcBorders>
              <w:top w:val="single" w:sz="8" w:space="0" w:color="FFFFFF" w:themeColor="background1"/>
              <w:bottom w:val="single" w:sz="8" w:space="0" w:color="FFFFFF" w:themeColor="background1"/>
            </w:tcBorders>
            <w:shd w:val="clear" w:color="auto" w:fill="C6D9F1" w:themeFill="text2" w:themeFillTint="33"/>
          </w:tcPr>
          <w:p w:rsidR="004F477E" w:rsidRPr="001A4851" w:rsidRDefault="00965C01" w:rsidP="00585705">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School staff develops a better understanding of the SLMH staff role as well as of the EBP(s) being provided to students across tiers</w:t>
            </w:r>
          </w:p>
        </w:tc>
        <w:tc>
          <w:tcPr>
            <w:tcW w:w="2250" w:type="dxa"/>
            <w:tcBorders>
              <w:top w:val="single" w:sz="8" w:space="0" w:color="FFFFFF" w:themeColor="background1"/>
              <w:bottom w:val="single" w:sz="8" w:space="0" w:color="FFFFFF" w:themeColor="background1"/>
            </w:tcBorders>
            <w:shd w:val="clear" w:color="auto" w:fill="C6D9F1" w:themeFill="text2" w:themeFillTint="33"/>
          </w:tcPr>
          <w:p w:rsidR="006529AD" w:rsidRPr="001A4851" w:rsidRDefault="00965C01" w:rsidP="00965C01">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SLMH staff will provide the professional development for school staff</w:t>
            </w:r>
            <w:r w:rsidR="001D26C5" w:rsidRPr="001A4851">
              <w:rPr>
                <w:rFonts w:asciiTheme="minorHAnsi" w:hAnsiTheme="minorHAnsi"/>
                <w:b w:val="0"/>
                <w:sz w:val="20"/>
                <w:szCs w:val="21"/>
              </w:rPr>
              <w:t xml:space="preserve"> to relat</w:t>
            </w:r>
            <w:r w:rsidRPr="001A4851">
              <w:rPr>
                <w:rFonts w:asciiTheme="minorHAnsi" w:hAnsiTheme="minorHAnsi"/>
                <w:b w:val="0"/>
                <w:sz w:val="20"/>
                <w:szCs w:val="21"/>
              </w:rPr>
              <w:t>ed to mental health in schools across tiers and info on EBP(s) being provided</w:t>
            </w:r>
          </w:p>
        </w:tc>
        <w:tc>
          <w:tcPr>
            <w:tcW w:w="2548" w:type="dxa"/>
            <w:tcBorders>
              <w:top w:val="single" w:sz="8" w:space="0" w:color="FFFFFF" w:themeColor="background1"/>
              <w:bottom w:val="single" w:sz="8" w:space="0" w:color="FFFFFF" w:themeColor="background1"/>
            </w:tcBorders>
            <w:shd w:val="clear" w:color="auto" w:fill="C6D9F1" w:themeFill="text2" w:themeFillTint="33"/>
          </w:tcPr>
          <w:p w:rsidR="006529AD" w:rsidRPr="001A4851" w:rsidRDefault="00965C01" w:rsidP="00585705">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School staff will provide access to SLMH staff to participate in school PD opportunities to learn about school culture and systems to better align</w:t>
            </w:r>
            <w:r w:rsidR="000E72AF" w:rsidRPr="001A4851">
              <w:rPr>
                <w:rFonts w:asciiTheme="minorHAnsi" w:hAnsiTheme="minorHAnsi"/>
                <w:b w:val="0"/>
                <w:sz w:val="20"/>
                <w:szCs w:val="21"/>
              </w:rPr>
              <w:t xml:space="preserve"> supports across existing tiers</w:t>
            </w:r>
          </w:p>
        </w:tc>
        <w:tc>
          <w:tcPr>
            <w:tcW w:w="2520" w:type="dxa"/>
            <w:tcBorders>
              <w:top w:val="single" w:sz="8" w:space="0" w:color="FFFFFF" w:themeColor="background1"/>
              <w:bottom w:val="single" w:sz="8" w:space="0" w:color="FFFFFF" w:themeColor="background1"/>
            </w:tcBorders>
            <w:shd w:val="clear" w:color="auto" w:fill="C6D9F1" w:themeFill="text2" w:themeFillTint="33"/>
          </w:tcPr>
          <w:p w:rsidR="009E2FF3" w:rsidRPr="001A4851" w:rsidRDefault="00965C01" w:rsidP="000E72AF">
            <w:pPr>
              <w:pStyle w:val="Heading2"/>
              <w:spacing w:before="12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0"/>
                <w:szCs w:val="21"/>
              </w:rPr>
            </w:pPr>
            <w:r w:rsidRPr="001A4851">
              <w:rPr>
                <w:rFonts w:asciiTheme="minorHAnsi" w:hAnsiTheme="minorHAnsi"/>
                <w:b w:val="0"/>
                <w:sz w:val="20"/>
                <w:szCs w:val="21"/>
              </w:rPr>
              <w:t>S</w:t>
            </w:r>
            <w:r w:rsidR="000E72AF" w:rsidRPr="001A4851">
              <w:rPr>
                <w:rFonts w:asciiTheme="minorHAnsi" w:hAnsiTheme="minorHAnsi"/>
                <w:b w:val="0"/>
                <w:sz w:val="20"/>
                <w:szCs w:val="21"/>
              </w:rPr>
              <w:t>chool staff and SLMH staff will develop a mu</w:t>
            </w:r>
            <w:r w:rsidR="00A72D4A">
              <w:rPr>
                <w:rFonts w:asciiTheme="minorHAnsi" w:hAnsiTheme="minorHAnsi"/>
                <w:b w:val="0"/>
                <w:sz w:val="20"/>
                <w:szCs w:val="21"/>
              </w:rPr>
              <w:t>tual understanding of each partner</w:t>
            </w:r>
            <w:r w:rsidR="004F0C9C">
              <w:rPr>
                <w:rFonts w:asciiTheme="minorHAnsi" w:hAnsiTheme="minorHAnsi"/>
                <w:b w:val="0"/>
                <w:sz w:val="20"/>
                <w:szCs w:val="21"/>
              </w:rPr>
              <w:t>’</w:t>
            </w:r>
            <w:r w:rsidR="000E72AF" w:rsidRPr="001A4851">
              <w:rPr>
                <w:rFonts w:asciiTheme="minorHAnsi" w:hAnsiTheme="minorHAnsi"/>
                <w:b w:val="0"/>
                <w:sz w:val="20"/>
                <w:szCs w:val="21"/>
              </w:rPr>
              <w:t>s role and function in a multi-tiered and multi-disciplin</w:t>
            </w:r>
            <w:r w:rsidR="005445AC">
              <w:rPr>
                <w:rFonts w:asciiTheme="minorHAnsi" w:hAnsiTheme="minorHAnsi"/>
                <w:b w:val="0"/>
                <w:sz w:val="20"/>
                <w:szCs w:val="21"/>
              </w:rPr>
              <w:softHyphen/>
            </w:r>
            <w:r w:rsidR="000E72AF" w:rsidRPr="001A4851">
              <w:rPr>
                <w:rFonts w:asciiTheme="minorHAnsi" w:hAnsiTheme="minorHAnsi"/>
                <w:b w:val="0"/>
                <w:sz w:val="20"/>
                <w:szCs w:val="21"/>
              </w:rPr>
              <w:t>ary relationship</w:t>
            </w:r>
          </w:p>
        </w:tc>
      </w:tr>
    </w:tbl>
    <w:p w:rsidR="00B45AD2" w:rsidRDefault="00141A56" w:rsidP="00961665">
      <w:pPr>
        <w:pStyle w:val="Heading2"/>
        <w:spacing w:before="720" w:after="0" w:line="240" w:lineRule="auto"/>
        <w:rPr>
          <w:rFonts w:asciiTheme="minorHAnsi" w:hAnsiTheme="minorHAnsi"/>
        </w:rPr>
      </w:pP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157790">
        <w:rPr>
          <w:rFonts w:asciiTheme="minorHAnsi" w:hAnsiTheme="minorHAnsi"/>
          <w:u w:val="single"/>
        </w:rPr>
        <w:tab/>
      </w:r>
      <w:r>
        <w:rPr>
          <w:rFonts w:asciiTheme="minorHAnsi" w:hAnsiTheme="minorHAnsi"/>
          <w:u w:val="single"/>
        </w:rPr>
        <w:tab/>
      </w:r>
      <w:r>
        <w:rPr>
          <w:rFonts w:asciiTheme="minorHAnsi" w:hAnsiTheme="minorHAnsi"/>
        </w:rPr>
        <w:tab/>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141A56" w:rsidRPr="00AD4166" w:rsidRDefault="00051D6C" w:rsidP="00141A56">
      <w:pPr>
        <w:spacing w:before="0" w:after="0" w:line="240" w:lineRule="auto"/>
        <w:rPr>
          <w:rFonts w:asciiTheme="minorHAnsi" w:hAnsiTheme="minorHAnsi"/>
        </w:rPr>
      </w:pPr>
      <w:r>
        <w:rPr>
          <w:rFonts w:asciiTheme="minorHAnsi" w:hAnsiTheme="minorHAnsi"/>
        </w:rPr>
        <w:t>Signature, School Linked Mental Health Respondent</w:t>
      </w:r>
      <w:r w:rsidR="00141A56" w:rsidRPr="00AD4166">
        <w:rPr>
          <w:rFonts w:asciiTheme="minorHAnsi" w:hAnsiTheme="minorHAnsi"/>
        </w:rPr>
        <w:tab/>
      </w:r>
      <w:r w:rsidR="00157790" w:rsidRPr="00AD4166">
        <w:rPr>
          <w:rFonts w:asciiTheme="minorHAnsi" w:hAnsiTheme="minorHAnsi"/>
        </w:rPr>
        <w:t>Date</w:t>
      </w:r>
      <w:r w:rsidR="00141A56" w:rsidRPr="00AD4166">
        <w:rPr>
          <w:rFonts w:asciiTheme="minorHAnsi" w:hAnsiTheme="minorHAnsi"/>
        </w:rPr>
        <w:tab/>
      </w:r>
      <w:r w:rsidR="00141A56" w:rsidRPr="00AD4166">
        <w:rPr>
          <w:rFonts w:asciiTheme="minorHAnsi" w:hAnsiTheme="minorHAnsi"/>
        </w:rPr>
        <w:tab/>
      </w:r>
      <w:r w:rsidR="00157790" w:rsidRPr="00AD4166">
        <w:rPr>
          <w:rFonts w:asciiTheme="minorHAnsi" w:hAnsiTheme="minorHAnsi"/>
        </w:rPr>
        <w:tab/>
      </w:r>
      <w:r w:rsidR="00141A56" w:rsidRPr="00AD4166">
        <w:rPr>
          <w:rFonts w:asciiTheme="minorHAnsi" w:hAnsiTheme="minorHAnsi"/>
        </w:rPr>
        <w:t>Signature, [DISTRICT]</w:t>
      </w:r>
      <w:r w:rsidR="00157790" w:rsidRPr="00AD4166">
        <w:rPr>
          <w:rFonts w:asciiTheme="minorHAnsi" w:hAnsiTheme="minorHAnsi"/>
        </w:rPr>
        <w:tab/>
      </w:r>
      <w:r w:rsidR="00157790" w:rsidRPr="00AD4166">
        <w:rPr>
          <w:rFonts w:asciiTheme="minorHAnsi" w:hAnsiTheme="minorHAnsi"/>
        </w:rPr>
        <w:tab/>
      </w:r>
      <w:r w:rsidR="00157790" w:rsidRPr="00AD4166">
        <w:rPr>
          <w:rFonts w:asciiTheme="minorHAnsi" w:hAnsiTheme="minorHAnsi"/>
        </w:rPr>
        <w:tab/>
      </w:r>
      <w:r w:rsidR="00157790" w:rsidRPr="00AD4166">
        <w:rPr>
          <w:rFonts w:asciiTheme="minorHAnsi" w:hAnsiTheme="minorHAnsi"/>
        </w:rPr>
        <w:tab/>
        <w:t>Date</w:t>
      </w:r>
    </w:p>
    <w:sectPr w:rsidR="00141A56" w:rsidRPr="00AD4166" w:rsidSect="00AD4166">
      <w:headerReference w:type="default" r:id="rId11"/>
      <w:footerReference w:type="default" r:id="rId12"/>
      <w:pgSz w:w="15840" w:h="12240" w:orient="landscape" w:code="1"/>
      <w:pgMar w:top="1440" w:right="1152" w:bottom="907" w:left="1152" w:header="36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57" w:rsidRDefault="007B1657" w:rsidP="00232178">
      <w:pPr>
        <w:spacing w:after="0" w:line="240" w:lineRule="auto"/>
      </w:pPr>
      <w:r>
        <w:separator/>
      </w:r>
    </w:p>
  </w:endnote>
  <w:endnote w:type="continuationSeparator" w:id="0">
    <w:p w:rsidR="007B1657" w:rsidRDefault="007B1657"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36" w:rsidRDefault="00895936" w:rsidP="00895936">
    <w:pPr>
      <w:rPr>
        <w:rFonts w:ascii="Calibri" w:hAnsi="Calibri"/>
      </w:rPr>
    </w:pPr>
    <w:r w:rsidRPr="00895936">
      <w:rPr>
        <w:rFonts w:ascii="Tahoma" w:hAnsi="Tahoma" w:cs="Tahoma"/>
        <w:sz w:val="20"/>
        <w:szCs w:val="20"/>
      </w:rPr>
      <w:t>*</w:t>
    </w:r>
    <w:r w:rsidR="006B1493" w:rsidRPr="006B1493">
      <w:rPr>
        <w:rFonts w:asciiTheme="minorHAnsi" w:hAnsiTheme="minorHAnsi" w:cs="Segoe UI"/>
        <w:color w:val="14171A"/>
        <w:spacing w:val="4"/>
        <w:sz w:val="20"/>
        <w:szCs w:val="41"/>
        <w:shd w:val="clear" w:color="auto" w:fill="FFFFFF"/>
      </w:rPr>
      <w:t>ESSA (2015). Every Student Succeeds Act of 2015, Pub. L. No. 114-95 § 114 Stat. 1177 (2015-2016).</w:t>
    </w:r>
  </w:p>
  <w:p w:rsidR="00682D04" w:rsidRPr="00741898" w:rsidRDefault="00DA642F" w:rsidP="00741898">
    <w:pPr>
      <w:pStyle w:val="Footer"/>
      <w:tabs>
        <w:tab w:val="clear" w:pos="4680"/>
        <w:tab w:val="clear" w:pos="9360"/>
      </w:tabs>
      <w:jc w:val="right"/>
      <w:rPr>
        <w:rFonts w:ascii="Tahoma" w:hAnsi="Tahoma" w:cs="Tahoma"/>
        <w:sz w:val="40"/>
        <w:szCs w:val="40"/>
      </w:rPr>
    </w:pPr>
    <w:r>
      <w:rPr>
        <w:rFonts w:ascii="Tahoma" w:hAnsi="Tahoma" w:cs="Tahoma"/>
      </w:rPr>
      <w:t>10/4/17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57" w:rsidRDefault="007B1657" w:rsidP="00232178">
      <w:pPr>
        <w:spacing w:after="0" w:line="240" w:lineRule="auto"/>
      </w:pPr>
      <w:r>
        <w:separator/>
      </w:r>
    </w:p>
  </w:footnote>
  <w:footnote w:type="continuationSeparator" w:id="0">
    <w:p w:rsidR="007B1657" w:rsidRDefault="007B1657"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98" w:rsidRDefault="00DA642F">
    <w:pPr>
      <w:pStyle w:val="Header"/>
    </w:pPr>
    <w:r>
      <w:t>DRAFT SLMH Give-Get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6"/>
  </w:num>
  <w:num w:numId="15">
    <w:abstractNumId w:val="13"/>
  </w:num>
  <w:num w:numId="16">
    <w:abstractNumId w:val="10"/>
  </w:num>
  <w:num w:numId="17">
    <w:abstractNumId w:val="14"/>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EC"/>
    <w:rsid w:val="0001359D"/>
    <w:rsid w:val="000169CB"/>
    <w:rsid w:val="0005190D"/>
    <w:rsid w:val="00051D6C"/>
    <w:rsid w:val="00054C47"/>
    <w:rsid w:val="000B5405"/>
    <w:rsid w:val="000E05B8"/>
    <w:rsid w:val="000E72AF"/>
    <w:rsid w:val="000F2B3E"/>
    <w:rsid w:val="000F689F"/>
    <w:rsid w:val="00103EFD"/>
    <w:rsid w:val="00115607"/>
    <w:rsid w:val="0012114F"/>
    <w:rsid w:val="0012477A"/>
    <w:rsid w:val="001269E9"/>
    <w:rsid w:val="00130D81"/>
    <w:rsid w:val="00141A56"/>
    <w:rsid w:val="00157790"/>
    <w:rsid w:val="00175597"/>
    <w:rsid w:val="00183D7A"/>
    <w:rsid w:val="001925C9"/>
    <w:rsid w:val="001A4851"/>
    <w:rsid w:val="001D05A7"/>
    <w:rsid w:val="001D13F4"/>
    <w:rsid w:val="001D26C5"/>
    <w:rsid w:val="001F1209"/>
    <w:rsid w:val="00232178"/>
    <w:rsid w:val="00257B8F"/>
    <w:rsid w:val="0026316D"/>
    <w:rsid w:val="002705F1"/>
    <w:rsid w:val="00280EC8"/>
    <w:rsid w:val="00281A86"/>
    <w:rsid w:val="002B4810"/>
    <w:rsid w:val="002C220F"/>
    <w:rsid w:val="002C4CA8"/>
    <w:rsid w:val="002D25CC"/>
    <w:rsid w:val="002D5B9B"/>
    <w:rsid w:val="002F6251"/>
    <w:rsid w:val="00345755"/>
    <w:rsid w:val="003573AC"/>
    <w:rsid w:val="003707E2"/>
    <w:rsid w:val="00386B6B"/>
    <w:rsid w:val="003A40B9"/>
    <w:rsid w:val="004025C1"/>
    <w:rsid w:val="0048171E"/>
    <w:rsid w:val="00496430"/>
    <w:rsid w:val="0049790F"/>
    <w:rsid w:val="004B1C90"/>
    <w:rsid w:val="004C6256"/>
    <w:rsid w:val="004D6E03"/>
    <w:rsid w:val="004F0C9C"/>
    <w:rsid w:val="004F477E"/>
    <w:rsid w:val="00505F6A"/>
    <w:rsid w:val="005445AC"/>
    <w:rsid w:val="00545166"/>
    <w:rsid w:val="00585705"/>
    <w:rsid w:val="00587BBD"/>
    <w:rsid w:val="005926FE"/>
    <w:rsid w:val="00593071"/>
    <w:rsid w:val="005F1AD0"/>
    <w:rsid w:val="005F4C20"/>
    <w:rsid w:val="00600B23"/>
    <w:rsid w:val="0060670D"/>
    <w:rsid w:val="00610E41"/>
    <w:rsid w:val="00612EB2"/>
    <w:rsid w:val="006136BD"/>
    <w:rsid w:val="00621256"/>
    <w:rsid w:val="00623C1B"/>
    <w:rsid w:val="00632FFF"/>
    <w:rsid w:val="00636F32"/>
    <w:rsid w:val="00651E36"/>
    <w:rsid w:val="006529AD"/>
    <w:rsid w:val="006819D8"/>
    <w:rsid w:val="00682D04"/>
    <w:rsid w:val="0068790F"/>
    <w:rsid w:val="00696B26"/>
    <w:rsid w:val="006A628F"/>
    <w:rsid w:val="006B1493"/>
    <w:rsid w:val="006C05DF"/>
    <w:rsid w:val="006D206B"/>
    <w:rsid w:val="006D234D"/>
    <w:rsid w:val="006D7AC2"/>
    <w:rsid w:val="006F0369"/>
    <w:rsid w:val="006F5B31"/>
    <w:rsid w:val="007315A1"/>
    <w:rsid w:val="007345E1"/>
    <w:rsid w:val="00741898"/>
    <w:rsid w:val="00745591"/>
    <w:rsid w:val="00787B9D"/>
    <w:rsid w:val="007B1657"/>
    <w:rsid w:val="00812CE4"/>
    <w:rsid w:val="008339B9"/>
    <w:rsid w:val="00852794"/>
    <w:rsid w:val="008706BC"/>
    <w:rsid w:val="00895936"/>
    <w:rsid w:val="008964C0"/>
    <w:rsid w:val="00911202"/>
    <w:rsid w:val="00952EE1"/>
    <w:rsid w:val="00961665"/>
    <w:rsid w:val="00965C01"/>
    <w:rsid w:val="009723F7"/>
    <w:rsid w:val="0097447D"/>
    <w:rsid w:val="00975A78"/>
    <w:rsid w:val="009A14F2"/>
    <w:rsid w:val="009A1D2A"/>
    <w:rsid w:val="009A681C"/>
    <w:rsid w:val="009B5E71"/>
    <w:rsid w:val="009D351D"/>
    <w:rsid w:val="009E2FF3"/>
    <w:rsid w:val="009E610D"/>
    <w:rsid w:val="009F5A65"/>
    <w:rsid w:val="00A14383"/>
    <w:rsid w:val="00A151E7"/>
    <w:rsid w:val="00A24EFD"/>
    <w:rsid w:val="00A40872"/>
    <w:rsid w:val="00A504E1"/>
    <w:rsid w:val="00A51265"/>
    <w:rsid w:val="00A56182"/>
    <w:rsid w:val="00A57AA3"/>
    <w:rsid w:val="00A60516"/>
    <w:rsid w:val="00A64E65"/>
    <w:rsid w:val="00A72D4A"/>
    <w:rsid w:val="00A92786"/>
    <w:rsid w:val="00AA3C09"/>
    <w:rsid w:val="00AD24A8"/>
    <w:rsid w:val="00AD4166"/>
    <w:rsid w:val="00B27702"/>
    <w:rsid w:val="00B446BE"/>
    <w:rsid w:val="00B45AD2"/>
    <w:rsid w:val="00B73C76"/>
    <w:rsid w:val="00B83897"/>
    <w:rsid w:val="00B866DC"/>
    <w:rsid w:val="00B8755B"/>
    <w:rsid w:val="00BA5688"/>
    <w:rsid w:val="00BC0DD8"/>
    <w:rsid w:val="00BD1EF9"/>
    <w:rsid w:val="00BD50AB"/>
    <w:rsid w:val="00C14DD0"/>
    <w:rsid w:val="00C34888"/>
    <w:rsid w:val="00C36821"/>
    <w:rsid w:val="00C41023"/>
    <w:rsid w:val="00C839B3"/>
    <w:rsid w:val="00C93690"/>
    <w:rsid w:val="00C957CA"/>
    <w:rsid w:val="00CA41F5"/>
    <w:rsid w:val="00CA55F2"/>
    <w:rsid w:val="00CD05B2"/>
    <w:rsid w:val="00CD2AE4"/>
    <w:rsid w:val="00CF166A"/>
    <w:rsid w:val="00D019F7"/>
    <w:rsid w:val="00D15332"/>
    <w:rsid w:val="00D1552B"/>
    <w:rsid w:val="00D3529A"/>
    <w:rsid w:val="00D35FB9"/>
    <w:rsid w:val="00D87542"/>
    <w:rsid w:val="00D967E0"/>
    <w:rsid w:val="00DA642F"/>
    <w:rsid w:val="00E11991"/>
    <w:rsid w:val="00E13FEC"/>
    <w:rsid w:val="00E225CA"/>
    <w:rsid w:val="00E42BB7"/>
    <w:rsid w:val="00E54877"/>
    <w:rsid w:val="00E63F01"/>
    <w:rsid w:val="00E70A23"/>
    <w:rsid w:val="00E9376A"/>
    <w:rsid w:val="00E93B6F"/>
    <w:rsid w:val="00EC48CE"/>
    <w:rsid w:val="00EE0697"/>
    <w:rsid w:val="00EE2C6E"/>
    <w:rsid w:val="00EE38BE"/>
    <w:rsid w:val="00F150C2"/>
    <w:rsid w:val="00F22528"/>
    <w:rsid w:val="00F4200C"/>
    <w:rsid w:val="00F51267"/>
    <w:rsid w:val="00F614A8"/>
    <w:rsid w:val="00F80C56"/>
    <w:rsid w:val="00FA6523"/>
    <w:rsid w:val="00FB2EDB"/>
    <w:rsid w:val="00FC185E"/>
    <w:rsid w:val="00FF3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E13FE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locked/>
    <w:rsid w:val="00E13FE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Shading-Accent1">
    <w:name w:val="Colorful Shading Accent 1"/>
    <w:basedOn w:val="TableNormal"/>
    <w:uiPriority w:val="71"/>
    <w:locked/>
    <w:rsid w:val="00E13FEC"/>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locked/>
    <w:rsid w:val="00E13FEC"/>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CommentReference">
    <w:name w:val="annotation reference"/>
    <w:basedOn w:val="DefaultParagraphFont"/>
    <w:uiPriority w:val="99"/>
    <w:semiHidden/>
    <w:unhideWhenUsed/>
    <w:locked/>
    <w:rsid w:val="009A14F2"/>
    <w:rPr>
      <w:sz w:val="16"/>
      <w:szCs w:val="16"/>
    </w:rPr>
  </w:style>
  <w:style w:type="character" w:styleId="Hyperlink">
    <w:name w:val="Hyperlink"/>
    <w:basedOn w:val="DefaultParagraphFont"/>
    <w:uiPriority w:val="99"/>
    <w:unhideWhenUsed/>
    <w:locked/>
    <w:rsid w:val="0026316D"/>
    <w:rPr>
      <w:color w:val="0000FF" w:themeColor="hyperlink"/>
      <w:u w:val="single"/>
    </w:rPr>
  </w:style>
  <w:style w:type="character" w:styleId="FollowedHyperlink">
    <w:name w:val="FollowedHyperlink"/>
    <w:basedOn w:val="DefaultParagraphFont"/>
    <w:uiPriority w:val="99"/>
    <w:semiHidden/>
    <w:unhideWhenUsed/>
    <w:locked/>
    <w:rsid w:val="00263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3195">
      <w:bodyDiv w:val="1"/>
      <w:marLeft w:val="0"/>
      <w:marRight w:val="0"/>
      <w:marTop w:val="0"/>
      <w:marBottom w:val="0"/>
      <w:divBdr>
        <w:top w:val="none" w:sz="0" w:space="0" w:color="auto"/>
        <w:left w:val="none" w:sz="0" w:space="0" w:color="auto"/>
        <w:bottom w:val="none" w:sz="0" w:space="0" w:color="auto"/>
        <w:right w:val="none" w:sz="0" w:space="0" w:color="auto"/>
      </w:divBdr>
    </w:div>
    <w:div w:id="12109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pkg/BILLS-114s1177enr/pdf/BILLS-114s1177enr.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bis.org/Common/Cms/files/pbisresources/SWPBIS%20Tiered%20Fidelity%20Inventory%20%28TFI%29.pdf" TargetMode="External"/><Relationship Id="rId4" Type="http://schemas.openxmlformats.org/officeDocument/2006/relationships/settings" Target="settings.xml"/><Relationship Id="rId9" Type="http://schemas.openxmlformats.org/officeDocument/2006/relationships/hyperlink" Target="https://www.revisor.mn.gov/statutes/?id=122A.6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0CEFA-F128-4699-8739-2EF80CF3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2019-04-30T17:29:00Z</dcterms:created>
  <dcterms:modified xsi:type="dcterms:W3CDTF">2019-04-30T17:29:00Z</dcterms:modified>
</cp:coreProperties>
</file>